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E831" w14:textId="77777777" w:rsidR="00EB4F2B" w:rsidRDefault="00EB4F2B" w:rsidP="001D1F5D"/>
    <w:p w14:paraId="6DFAA0AD" w14:textId="77777777" w:rsidR="00EB4F2B" w:rsidRPr="00EB4F2B" w:rsidRDefault="00EB4F2B" w:rsidP="00EB4F2B">
      <w:pPr>
        <w:rPr>
          <w:b/>
          <w:sz w:val="34"/>
          <w:szCs w:val="34"/>
        </w:rPr>
      </w:pPr>
      <w:r w:rsidRPr="00EB4F2B">
        <w:rPr>
          <w:b/>
          <w:sz w:val="34"/>
          <w:szCs w:val="34"/>
        </w:rPr>
        <w:t>PRE SEED</w:t>
      </w:r>
      <w:r w:rsidR="00D34DBB">
        <w:rPr>
          <w:b/>
          <w:sz w:val="34"/>
          <w:szCs w:val="34"/>
        </w:rPr>
        <w:t xml:space="preserve"> II</w:t>
      </w:r>
      <w:r w:rsidRPr="00EB4F2B">
        <w:rPr>
          <w:b/>
          <w:sz w:val="34"/>
          <w:szCs w:val="34"/>
        </w:rPr>
        <w:t xml:space="preserve"> fond VŠB-Technické univerzity Ostrava</w:t>
      </w:r>
    </w:p>
    <w:p w14:paraId="42F2F6DF" w14:textId="77777777" w:rsidR="00EB4F2B" w:rsidRDefault="00EB4F2B" w:rsidP="001D1F5D"/>
    <w:p w14:paraId="7DF5A3BF" w14:textId="77777777" w:rsidR="001D1F5D" w:rsidRDefault="00EB4F2B" w:rsidP="001D1F5D">
      <w:r>
        <w:t>Otázky a odpovědi</w:t>
      </w:r>
      <w:r w:rsidR="001D1F5D">
        <w:t>:</w:t>
      </w:r>
    </w:p>
    <w:p w14:paraId="5397D550" w14:textId="77777777" w:rsidR="00BD7049" w:rsidRDefault="00BD7049" w:rsidP="00BD7049"/>
    <w:p w14:paraId="02DF52E1" w14:textId="77777777" w:rsidR="00EB4F2B" w:rsidRPr="00EB4F2B" w:rsidRDefault="001D1F5D" w:rsidP="001D1F5D">
      <w:pPr>
        <w:pStyle w:val="Odstavecseseznamem"/>
        <w:numPr>
          <w:ilvl w:val="0"/>
          <w:numId w:val="1"/>
        </w:numPr>
      </w:pPr>
      <w:r>
        <w:t>V jaké výši je vhodné uvádět nepřímé náklady DP?</w:t>
      </w:r>
      <w:r>
        <w:rPr>
          <w:color w:val="1F497D"/>
        </w:rPr>
        <w:t xml:space="preserve"> </w:t>
      </w:r>
    </w:p>
    <w:p w14:paraId="4C7B3C08" w14:textId="5BF8ADD8" w:rsidR="001D1F5D" w:rsidRDefault="00D34DBB" w:rsidP="00EB4F2B">
      <w:pPr>
        <w:pStyle w:val="Odstavecseseznamem"/>
        <w:rPr>
          <w:color w:val="FF0000"/>
        </w:rPr>
      </w:pPr>
      <w:r>
        <w:rPr>
          <w:color w:val="FF0000"/>
        </w:rPr>
        <w:t xml:space="preserve">Nepřímé náklady jsou stanoveny metodikou </w:t>
      </w:r>
      <w:proofErr w:type="spellStart"/>
      <w:r w:rsidR="00673B38">
        <w:rPr>
          <w:color w:val="FF0000"/>
        </w:rPr>
        <w:t>flat</w:t>
      </w:r>
      <w:proofErr w:type="spellEnd"/>
      <w:r w:rsidR="00673B38">
        <w:rPr>
          <w:color w:val="FF0000"/>
        </w:rPr>
        <w:t xml:space="preserve"> </w:t>
      </w:r>
      <w:proofErr w:type="spellStart"/>
      <w:r w:rsidR="00673B38">
        <w:rPr>
          <w:color w:val="FF0000"/>
        </w:rPr>
        <w:t>rate</w:t>
      </w:r>
      <w:proofErr w:type="spellEnd"/>
      <w:r w:rsidR="00673B38">
        <w:rPr>
          <w:color w:val="FF0000"/>
        </w:rPr>
        <w:t xml:space="preserve"> </w:t>
      </w:r>
      <w:r w:rsidR="005726BF">
        <w:rPr>
          <w:color w:val="FF0000"/>
        </w:rPr>
        <w:t xml:space="preserve">max. </w:t>
      </w:r>
      <w:r>
        <w:rPr>
          <w:color w:val="FF0000"/>
        </w:rPr>
        <w:t>25%</w:t>
      </w:r>
    </w:p>
    <w:p w14:paraId="2EBAE4E3" w14:textId="77777777" w:rsidR="00BD7049" w:rsidRDefault="00BD7049" w:rsidP="00EB4F2B">
      <w:pPr>
        <w:pStyle w:val="Odstavecseseznamem"/>
      </w:pPr>
    </w:p>
    <w:p w14:paraId="52EBAB1C" w14:textId="77777777" w:rsidR="00EB4F2B" w:rsidRPr="00EB4F2B" w:rsidRDefault="001D1F5D" w:rsidP="00EB4F2B">
      <w:pPr>
        <w:pStyle w:val="Odstavecseseznamem"/>
        <w:numPr>
          <w:ilvl w:val="0"/>
          <w:numId w:val="1"/>
        </w:numPr>
      </w:pPr>
      <w:r>
        <w:t xml:space="preserve">Kdy se jedná o investici a kdy už nikoliv? </w:t>
      </w:r>
    </w:p>
    <w:p w14:paraId="3610386D" w14:textId="77777777" w:rsidR="00EB4F2B" w:rsidRPr="00EB4F2B" w:rsidRDefault="00EB4F2B" w:rsidP="00EB4F2B">
      <w:pPr>
        <w:pStyle w:val="Odstavecseseznamem"/>
      </w:pPr>
      <w:r>
        <w:rPr>
          <w:color w:val="FF0000"/>
        </w:rPr>
        <w:t>P</w:t>
      </w:r>
      <w:r w:rsidRPr="00EB4F2B">
        <w:rPr>
          <w:color w:val="FF0000"/>
        </w:rPr>
        <w:t xml:space="preserve">roblematiku standardního účtování, ocenění a evidenci majetku řeší zákon č. 563/91 Sb. o účetnictví. Na základě vyhlášky č. 504/2002, byla vydána v rámci VŠB-TUO směrnice TUO_SME_03_006 - Dlouhodobý majetek, zásoby, ocenění a evidence. </w:t>
      </w:r>
    </w:p>
    <w:p w14:paraId="27516C9D" w14:textId="77777777" w:rsidR="00EB4F2B" w:rsidRPr="00EB4F2B" w:rsidRDefault="00EB4F2B" w:rsidP="00EB4F2B">
      <w:pPr>
        <w:rPr>
          <w:color w:val="FF0000"/>
        </w:rPr>
      </w:pPr>
    </w:p>
    <w:p w14:paraId="79C093A8" w14:textId="77777777" w:rsidR="00EB4F2B" w:rsidRPr="00EB4F2B" w:rsidRDefault="00EB4F2B" w:rsidP="00EB4F2B">
      <w:pPr>
        <w:ind w:firstLine="708"/>
        <w:rPr>
          <w:color w:val="FF0000"/>
        </w:rPr>
      </w:pPr>
      <w:r w:rsidRPr="00EB4F2B">
        <w:rPr>
          <w:color w:val="FF0000"/>
        </w:rPr>
        <w:t>V rámci uvedeného je za investici považován:  </w:t>
      </w:r>
    </w:p>
    <w:p w14:paraId="6BED7EF4" w14:textId="677FCE5B" w:rsidR="00EB4F2B" w:rsidRPr="00EB4F2B" w:rsidRDefault="00EB4F2B" w:rsidP="00EB4F2B">
      <w:pPr>
        <w:pStyle w:val="Odstavecseseznamem"/>
        <w:numPr>
          <w:ilvl w:val="0"/>
          <w:numId w:val="2"/>
        </w:numPr>
        <w:rPr>
          <w:color w:val="FF0000"/>
        </w:rPr>
      </w:pPr>
      <w:r w:rsidRPr="00EB4F2B">
        <w:rPr>
          <w:color w:val="FF0000"/>
        </w:rPr>
        <w:t xml:space="preserve">Dlouhodobý nehmotný majetek – tj. majetkové položky s dobou použitelnosti delší než 1 rok, u kterých ocenění přesahuje částku </w:t>
      </w:r>
      <w:r w:rsidR="005436CC">
        <w:rPr>
          <w:color w:val="FF0000"/>
        </w:rPr>
        <w:t>8</w:t>
      </w:r>
      <w:r w:rsidRPr="00EB4F2B">
        <w:rPr>
          <w:color w:val="FF0000"/>
        </w:rPr>
        <w:t>0.000,- Kč</w:t>
      </w:r>
    </w:p>
    <w:p w14:paraId="112C3846" w14:textId="218BE865" w:rsidR="00EB4F2B" w:rsidRPr="00EB4F2B" w:rsidRDefault="00EB4F2B" w:rsidP="00EB4F2B">
      <w:pPr>
        <w:pStyle w:val="Odstavecseseznamem"/>
        <w:numPr>
          <w:ilvl w:val="0"/>
          <w:numId w:val="2"/>
        </w:numPr>
        <w:rPr>
          <w:color w:val="FF0000"/>
        </w:rPr>
      </w:pPr>
      <w:r w:rsidRPr="00EB4F2B">
        <w:rPr>
          <w:color w:val="FF0000"/>
        </w:rPr>
        <w:t xml:space="preserve">Dlouhodobý hmotný majetek - tj. majetkové položky s dobou použitelnosti delší než 1 rok, u kterých ocenění přesahuje částku </w:t>
      </w:r>
      <w:r w:rsidR="00CE31B9">
        <w:rPr>
          <w:color w:val="FF0000"/>
        </w:rPr>
        <w:t>80</w:t>
      </w:r>
      <w:bookmarkStart w:id="0" w:name="_GoBack"/>
      <w:bookmarkEnd w:id="0"/>
      <w:r w:rsidRPr="00EB4F2B">
        <w:rPr>
          <w:color w:val="FF0000"/>
        </w:rPr>
        <w:t>.000,- Kč</w:t>
      </w:r>
    </w:p>
    <w:p w14:paraId="6877A2FA" w14:textId="77777777" w:rsidR="00EB4F2B" w:rsidRPr="00EB4F2B" w:rsidRDefault="00EB4F2B" w:rsidP="00EB4F2B">
      <w:pPr>
        <w:rPr>
          <w:color w:val="FF0000"/>
        </w:rPr>
      </w:pPr>
    </w:p>
    <w:p w14:paraId="50B450F2" w14:textId="77777777" w:rsidR="00EB4F2B" w:rsidRPr="00EB4F2B" w:rsidRDefault="00EB4F2B" w:rsidP="00EB4F2B">
      <w:pPr>
        <w:ind w:left="708"/>
        <w:rPr>
          <w:color w:val="FF0000"/>
        </w:rPr>
      </w:pPr>
      <w:r w:rsidRPr="00EB4F2B">
        <w:rPr>
          <w:color w:val="FF0000"/>
        </w:rPr>
        <w:t xml:space="preserve">Účetní problematiku spojenou s výzkumem a vývojem řeší mezinárodní účetní standardy (IAS/IFRS), konkrétně mezinárodní účetní standard IAS 38 – Nehmotná aktiva. Podle tohoto standardu platí, že ačkoliv výzkumné a vývojové činnosti mohou mít jako výsledek aktivum s hmotnou podstatou (například prototyp), hmotný prvek tohoto aktiva je druhotný, ve vztahu k nehmotné složce, kterou se rozumí znalosti ztělesněné v aktivu. </w:t>
      </w:r>
    </w:p>
    <w:p w14:paraId="309244FB" w14:textId="77777777" w:rsidR="00EB4F2B" w:rsidRDefault="00EB4F2B" w:rsidP="00EB4F2B">
      <w:pPr>
        <w:pStyle w:val="Odstavecseseznamem"/>
      </w:pPr>
    </w:p>
    <w:p w14:paraId="766D2EB1" w14:textId="77777777" w:rsidR="00EB4F2B" w:rsidRPr="00EB4F2B" w:rsidRDefault="001D1F5D" w:rsidP="001D1F5D">
      <w:pPr>
        <w:pStyle w:val="Odstavecseseznamem"/>
        <w:numPr>
          <w:ilvl w:val="0"/>
          <w:numId w:val="1"/>
        </w:numPr>
      </w:pPr>
      <w:r>
        <w:t xml:space="preserve">Kdy se předpokládá zahájení jednotlivých DP, bereme-li v úvahu lhůty Rady a TAČR na vyjádření? </w:t>
      </w:r>
    </w:p>
    <w:p w14:paraId="55A53083" w14:textId="05084E19" w:rsidR="001D1F5D" w:rsidRDefault="00EB4F2B" w:rsidP="00EB4F2B">
      <w:pPr>
        <w:pStyle w:val="Odstavecseseznamem"/>
        <w:rPr>
          <w:color w:val="FF0000"/>
        </w:rPr>
      </w:pPr>
      <w:r>
        <w:rPr>
          <w:color w:val="FF0000"/>
        </w:rPr>
        <w:t>Zhruba</w:t>
      </w:r>
      <w:r w:rsidR="001D1F5D">
        <w:rPr>
          <w:color w:val="FF0000"/>
        </w:rPr>
        <w:t xml:space="preserve"> do </w:t>
      </w:r>
      <w:r w:rsidR="006E39B5">
        <w:rPr>
          <w:color w:val="FF0000"/>
        </w:rPr>
        <w:t>dvou měsíců</w:t>
      </w:r>
      <w:r w:rsidR="001D1F5D">
        <w:rPr>
          <w:color w:val="FF0000"/>
        </w:rPr>
        <w:t xml:space="preserve"> od podání návrhu DP.</w:t>
      </w:r>
    </w:p>
    <w:p w14:paraId="3D43074D" w14:textId="77777777" w:rsidR="00BD7049" w:rsidRDefault="00BD7049" w:rsidP="00EB4F2B">
      <w:pPr>
        <w:pStyle w:val="Odstavecseseznamem"/>
      </w:pPr>
    </w:p>
    <w:p w14:paraId="4F7BFC86" w14:textId="77777777" w:rsidR="00EB4F2B" w:rsidRPr="00EB4F2B" w:rsidRDefault="001D1F5D" w:rsidP="001D1F5D">
      <w:pPr>
        <w:pStyle w:val="Odstavecseseznamem"/>
        <w:numPr>
          <w:ilvl w:val="0"/>
          <w:numId w:val="1"/>
        </w:numPr>
      </w:pPr>
      <w:r>
        <w:t xml:space="preserve">Může </w:t>
      </w:r>
      <w:proofErr w:type="gramStart"/>
      <w:r>
        <w:t>být  patentová</w:t>
      </w:r>
      <w:proofErr w:type="gramEnd"/>
      <w:r>
        <w:t xml:space="preserve"> přihláška výsledkem projektu?</w:t>
      </w:r>
      <w:r>
        <w:rPr>
          <w:color w:val="1F497D"/>
        </w:rPr>
        <w:t xml:space="preserve"> </w:t>
      </w:r>
    </w:p>
    <w:p w14:paraId="62937B91" w14:textId="77777777" w:rsidR="001D1F5D" w:rsidRDefault="00EB4F2B" w:rsidP="00EB4F2B">
      <w:pPr>
        <w:pStyle w:val="Odstavecseseznamem"/>
        <w:rPr>
          <w:color w:val="FF0000"/>
        </w:rPr>
      </w:pPr>
      <w:r>
        <w:rPr>
          <w:color w:val="FF0000"/>
        </w:rPr>
        <w:t>A</w:t>
      </w:r>
      <w:r w:rsidR="001D1F5D">
        <w:rPr>
          <w:color w:val="FF0000"/>
        </w:rPr>
        <w:t>no, v kategorii „O“ ostatní výsledky</w:t>
      </w:r>
      <w:r w:rsidR="00BD7049">
        <w:rPr>
          <w:color w:val="FF0000"/>
        </w:rPr>
        <w:t>.</w:t>
      </w:r>
    </w:p>
    <w:p w14:paraId="4EF8502D" w14:textId="77777777" w:rsidR="00BD7049" w:rsidRDefault="00BD7049" w:rsidP="00EB4F2B">
      <w:pPr>
        <w:pStyle w:val="Odstavecseseznamem"/>
      </w:pPr>
    </w:p>
    <w:p w14:paraId="2728BAC5" w14:textId="77777777" w:rsidR="00BD7049" w:rsidRPr="00BD7049" w:rsidRDefault="001D1F5D" w:rsidP="001D1F5D">
      <w:pPr>
        <w:pStyle w:val="Odstavecseseznamem"/>
        <w:numPr>
          <w:ilvl w:val="0"/>
          <w:numId w:val="1"/>
        </w:numPr>
      </w:pPr>
      <w:r>
        <w:t>Je možné z projektu financovat patentový průzkum, pokud byla přihláška podaná ještě před započetím DP?</w:t>
      </w:r>
      <w:r>
        <w:rPr>
          <w:color w:val="1F497D"/>
        </w:rPr>
        <w:t xml:space="preserve"> </w:t>
      </w:r>
    </w:p>
    <w:p w14:paraId="6091EB09" w14:textId="77777777" w:rsidR="001D1F5D" w:rsidRDefault="00BD7049" w:rsidP="00BD7049">
      <w:pPr>
        <w:pStyle w:val="Odstavecseseznamem"/>
        <w:rPr>
          <w:color w:val="FF0000"/>
        </w:rPr>
      </w:pPr>
      <w:r>
        <w:rPr>
          <w:color w:val="FF0000"/>
        </w:rPr>
        <w:t>A</w:t>
      </w:r>
      <w:r w:rsidR="001D1F5D">
        <w:rPr>
          <w:color w:val="FF0000"/>
        </w:rPr>
        <w:t>no (předpokládám</w:t>
      </w:r>
      <w:r>
        <w:rPr>
          <w:color w:val="FF0000"/>
        </w:rPr>
        <w:t>e</w:t>
      </w:r>
      <w:r w:rsidR="001D1F5D">
        <w:rPr>
          <w:color w:val="FF0000"/>
        </w:rPr>
        <w:t>, že jde o úplný patentový průzkum realizovaný příslušným pate</w:t>
      </w:r>
      <w:r>
        <w:rPr>
          <w:color w:val="FF0000"/>
        </w:rPr>
        <w:t>ntovým úřadem), ale doporučujeme</w:t>
      </w:r>
      <w:r w:rsidR="001D1F5D">
        <w:rPr>
          <w:color w:val="FF0000"/>
        </w:rPr>
        <w:t xml:space="preserve"> řešit individuálně na konkrétním případu. </w:t>
      </w:r>
    </w:p>
    <w:p w14:paraId="58F29F72" w14:textId="77777777" w:rsidR="00BD7049" w:rsidRDefault="00BD7049" w:rsidP="00BD7049">
      <w:pPr>
        <w:pStyle w:val="Odstavecseseznamem"/>
      </w:pPr>
    </w:p>
    <w:p w14:paraId="6EDBB6D2" w14:textId="77777777" w:rsidR="00BD7049" w:rsidRPr="00BD7049" w:rsidRDefault="001D1F5D" w:rsidP="001D1F5D">
      <w:pPr>
        <w:pStyle w:val="Odstavecseseznamem"/>
        <w:numPr>
          <w:ilvl w:val="0"/>
          <w:numId w:val="1"/>
        </w:numPr>
      </w:pPr>
      <w:r>
        <w:t>Pokud již byl udělen patent v ČR, je možné v DP požádat o zahraniční patentovou ochranu?</w:t>
      </w:r>
      <w:r>
        <w:rPr>
          <w:color w:val="1F497D"/>
        </w:rPr>
        <w:t xml:space="preserve"> </w:t>
      </w:r>
    </w:p>
    <w:p w14:paraId="7E019165" w14:textId="77777777" w:rsidR="001D1F5D" w:rsidRPr="00D34DBB" w:rsidRDefault="00BD7049" w:rsidP="00BD7049">
      <w:pPr>
        <w:pStyle w:val="Odstavecseseznamem"/>
        <w:rPr>
          <w:b/>
          <w:color w:val="FF0000"/>
        </w:rPr>
      </w:pPr>
      <w:r>
        <w:rPr>
          <w:color w:val="FF0000"/>
        </w:rPr>
        <w:t>A</w:t>
      </w:r>
      <w:r w:rsidR="001D1F5D">
        <w:rPr>
          <w:color w:val="FF0000"/>
        </w:rPr>
        <w:t xml:space="preserve">no, pokud nebyla přihláška pro ČR placena z jiného projektu. Pokud byla přihláška pro ČR placena z jiného projektu, bude se řešit individuálně dotazem na TAČR. Důvodem je, že závazek: </w:t>
      </w:r>
      <w:r w:rsidR="001D1F5D" w:rsidRPr="00D34DBB">
        <w:rPr>
          <w:b/>
          <w:color w:val="FF0000"/>
        </w:rPr>
        <w:t>„Podstata návrhu projektu nebo její části nebyla řešena v rámci jiného projektu, grantového projektu nebo výzkumného záměru.“</w:t>
      </w:r>
    </w:p>
    <w:p w14:paraId="1D33BA51" w14:textId="77777777" w:rsidR="00D34DBB" w:rsidRDefault="00D34DBB" w:rsidP="00BD7049">
      <w:pPr>
        <w:pStyle w:val="Odstavecseseznamem"/>
      </w:pPr>
    </w:p>
    <w:p w14:paraId="647F7B2F" w14:textId="77777777" w:rsidR="00BD7049" w:rsidRPr="00BD7049" w:rsidRDefault="001D1F5D" w:rsidP="001D1F5D">
      <w:pPr>
        <w:pStyle w:val="Odstavecseseznamem"/>
        <w:numPr>
          <w:ilvl w:val="0"/>
          <w:numId w:val="1"/>
        </w:numPr>
      </w:pPr>
      <w:r>
        <w:t xml:space="preserve">Kdo bude organizovat prodej výsledků po ukončení projektu a budou členové týmu zodpovědní za prodej? </w:t>
      </w:r>
    </w:p>
    <w:p w14:paraId="09A5980A" w14:textId="77777777" w:rsidR="001D1F5D" w:rsidRPr="00BD7049" w:rsidRDefault="00BD7049" w:rsidP="00BD7049">
      <w:pPr>
        <w:pStyle w:val="Odstavecseseznamem"/>
        <w:rPr>
          <w:color w:val="FF0000"/>
        </w:rPr>
      </w:pPr>
      <w:r>
        <w:rPr>
          <w:color w:val="FF0000"/>
        </w:rPr>
        <w:t xml:space="preserve">Realizovat prodej výsledků </w:t>
      </w:r>
      <w:r w:rsidRPr="00BD7049">
        <w:rPr>
          <w:color w:val="FF0000"/>
        </w:rPr>
        <w:t>po ukončení projektu</w:t>
      </w:r>
      <w:r>
        <w:rPr>
          <w:color w:val="FF0000"/>
        </w:rPr>
        <w:t xml:space="preserve"> bude řešitele</w:t>
      </w:r>
      <w:r w:rsidR="001D1F5D" w:rsidRPr="00BD7049">
        <w:rPr>
          <w:color w:val="FF0000"/>
        </w:rPr>
        <w:t xml:space="preserve"> projektu ve spolupráci s univerzitním pracovištěm odpovědným za transfer technologií (nyní útvar </w:t>
      </w:r>
      <w:r w:rsidR="00D34DBB">
        <w:rPr>
          <w:color w:val="FF0000"/>
        </w:rPr>
        <w:t>CTT</w:t>
      </w:r>
      <w:r w:rsidR="001D1F5D" w:rsidRPr="00BD7049">
        <w:rPr>
          <w:color w:val="FF0000"/>
        </w:rPr>
        <w:t>, CPI).</w:t>
      </w:r>
      <w:r>
        <w:rPr>
          <w:color w:val="FF0000"/>
        </w:rPr>
        <w:t xml:space="preserve"> Řešitel má zodpovědnost za plnění cílů projektu.</w:t>
      </w:r>
    </w:p>
    <w:p w14:paraId="30C66291" w14:textId="77777777" w:rsidR="00BD7049" w:rsidRDefault="00BD7049" w:rsidP="00BD7049">
      <w:pPr>
        <w:pStyle w:val="Odstavecseseznamem"/>
      </w:pPr>
    </w:p>
    <w:p w14:paraId="45C03196" w14:textId="77777777" w:rsidR="00BD7049" w:rsidRPr="00BD7049" w:rsidRDefault="001D1F5D" w:rsidP="001D1F5D">
      <w:pPr>
        <w:pStyle w:val="Odstavecseseznamem"/>
        <w:numPr>
          <w:ilvl w:val="0"/>
          <w:numId w:val="1"/>
        </w:numPr>
      </w:pPr>
      <w:r>
        <w:t>Jak by měl vypadat marketingový plán, který je součástí krycího listu?</w:t>
      </w:r>
      <w:r>
        <w:rPr>
          <w:color w:val="1F497D"/>
        </w:rPr>
        <w:t xml:space="preserve"> </w:t>
      </w:r>
    </w:p>
    <w:p w14:paraId="793B2A52" w14:textId="77777777" w:rsidR="001D1F5D" w:rsidRDefault="00BD7049" w:rsidP="00BD7049">
      <w:pPr>
        <w:pStyle w:val="Odstavecseseznamem"/>
      </w:pPr>
      <w:r>
        <w:rPr>
          <w:color w:val="FF0000"/>
        </w:rPr>
        <w:lastRenderedPageBreak/>
        <w:t>V</w:t>
      </w:r>
      <w:r w:rsidR="001D1F5D">
        <w:rPr>
          <w:color w:val="FF0000"/>
        </w:rPr>
        <w:t> Krycím listu jde pouze o shrnutí marketingového plánu. Jednotlivé body shrnutí jsou součástí popisu na krycím listu. Pokud řešitel nedokáže kapitolu samostatně zpracovat, může požádat Manažera projektu o metodické vedení.</w:t>
      </w:r>
    </w:p>
    <w:p w14:paraId="6DD37C07" w14:textId="77777777" w:rsidR="00FE7CF2" w:rsidRDefault="00FE7CF2"/>
    <w:p w14:paraId="29186007" w14:textId="77777777" w:rsidR="00D34DBB" w:rsidRDefault="00D34DBB" w:rsidP="00413639">
      <w:pPr>
        <w:ind w:left="708"/>
        <w:rPr>
          <w:color w:val="FF0000"/>
        </w:rPr>
      </w:pPr>
    </w:p>
    <w:p w14:paraId="2728A3C4" w14:textId="77777777" w:rsidR="00D34DBB" w:rsidRDefault="00D34DBB" w:rsidP="00413639">
      <w:pPr>
        <w:ind w:left="708"/>
      </w:pPr>
    </w:p>
    <w:sectPr w:rsidR="00D34D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0E32" w14:textId="77777777" w:rsidR="000E2121" w:rsidRDefault="000E2121" w:rsidP="00EB4F2B">
      <w:r>
        <w:separator/>
      </w:r>
    </w:p>
  </w:endnote>
  <w:endnote w:type="continuationSeparator" w:id="0">
    <w:p w14:paraId="06FA6504" w14:textId="77777777" w:rsidR="000E2121" w:rsidRDefault="000E2121" w:rsidP="00EB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15" w:type="dxa"/>
      <w:tblInd w:w="30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9"/>
      <w:gridCol w:w="259"/>
    </w:tblGrid>
    <w:tr w:rsidR="00BD7049" w:rsidRPr="00EB4F2B" w14:paraId="29754075" w14:textId="77777777" w:rsidTr="00BD7049">
      <w:trPr>
        <w:tblCellSpacing w:w="15" w:type="dxa"/>
      </w:trPr>
      <w:tc>
        <w:tcPr>
          <w:tcW w:w="0" w:type="auto"/>
          <w:shd w:val="clear" w:color="auto" w:fill="FFFFFF"/>
          <w:tcMar>
            <w:top w:w="75" w:type="dxa"/>
            <w:left w:w="75" w:type="dxa"/>
            <w:bottom w:w="75" w:type="dxa"/>
            <w:right w:w="75" w:type="dxa"/>
          </w:tcMar>
          <w:vAlign w:val="center"/>
          <w:hideMark/>
        </w:tcPr>
        <w:p w14:paraId="376B063B" w14:textId="77777777" w:rsidR="00EB4F2B" w:rsidRPr="00EB4F2B" w:rsidRDefault="00BD7049" w:rsidP="00A55C27">
          <w:pPr>
            <w:spacing w:before="100" w:beforeAutospacing="1" w:after="100" w:afterAutospacing="1" w:line="360" w:lineRule="atLeast"/>
            <w:rPr>
              <w:rFonts w:ascii="Segoe UI" w:eastAsia="Times New Roman" w:hAnsi="Segoe UI" w:cs="Segoe UI"/>
              <w:color w:val="000000"/>
              <w:sz w:val="23"/>
              <w:szCs w:val="23"/>
              <w:lang w:eastAsia="cs-CZ"/>
            </w:rPr>
          </w:pPr>
          <w:r w:rsidRPr="00EB4F2B">
            <w:rPr>
              <w:rFonts w:ascii="Segoe UI" w:eastAsia="Times New Roman" w:hAnsi="Segoe UI" w:cs="Segoe UI"/>
              <w:color w:val="000000"/>
              <w:sz w:val="23"/>
              <w:szCs w:val="23"/>
              <w:lang w:eastAsia="cs-CZ"/>
            </w:rPr>
            <w:t> </w:t>
          </w:r>
        </w:p>
      </w:tc>
      <w:tc>
        <w:tcPr>
          <w:tcW w:w="0" w:type="auto"/>
          <w:shd w:val="clear" w:color="auto" w:fill="FFFFFF"/>
          <w:tcMar>
            <w:top w:w="75" w:type="dxa"/>
            <w:left w:w="75" w:type="dxa"/>
            <w:bottom w:w="75" w:type="dxa"/>
            <w:right w:w="75" w:type="dxa"/>
          </w:tcMar>
          <w:vAlign w:val="center"/>
          <w:hideMark/>
        </w:tcPr>
        <w:p w14:paraId="1FDAD6F5" w14:textId="77777777" w:rsidR="00BD7049" w:rsidRPr="00EB4F2B" w:rsidRDefault="00BD7049" w:rsidP="00A55C27">
          <w:pPr>
            <w:spacing w:line="360" w:lineRule="atLeast"/>
            <w:rPr>
              <w:rFonts w:ascii="Segoe UI" w:eastAsia="Times New Roman" w:hAnsi="Segoe UI" w:cs="Segoe UI"/>
              <w:color w:val="000000"/>
              <w:sz w:val="23"/>
              <w:szCs w:val="23"/>
              <w:lang w:eastAsia="cs-CZ"/>
            </w:rPr>
          </w:pPr>
          <w:r w:rsidRPr="00EB4F2B">
            <w:rPr>
              <w:rFonts w:ascii="Segoe UI" w:eastAsia="Times New Roman" w:hAnsi="Segoe UI" w:cs="Segoe UI"/>
              <w:color w:val="000000"/>
              <w:sz w:val="23"/>
              <w:szCs w:val="23"/>
              <w:lang w:eastAsia="cs-CZ"/>
            </w:rPr>
            <w:t> </w:t>
          </w:r>
        </w:p>
      </w:tc>
    </w:tr>
  </w:tbl>
  <w:p w14:paraId="12369EF9" w14:textId="77777777" w:rsidR="00BD7049" w:rsidRPr="00BD7049" w:rsidRDefault="00BD7049" w:rsidP="00BD7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8176" w14:textId="77777777" w:rsidR="000E2121" w:rsidRDefault="000E2121" w:rsidP="00EB4F2B">
      <w:r>
        <w:separator/>
      </w:r>
    </w:p>
  </w:footnote>
  <w:footnote w:type="continuationSeparator" w:id="0">
    <w:p w14:paraId="6DDC5EE3" w14:textId="77777777" w:rsidR="000E2121" w:rsidRDefault="000E2121" w:rsidP="00EB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9056" w14:textId="77777777" w:rsidR="00EB4F2B" w:rsidRDefault="00D34D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AFBFA0" wp14:editId="1A573D7C">
          <wp:simplePos x="0" y="0"/>
          <wp:positionH relativeFrom="column">
            <wp:posOffset>3462655</wp:posOffset>
          </wp:positionH>
          <wp:positionV relativeFrom="paragraph">
            <wp:posOffset>-49530</wp:posOffset>
          </wp:positionV>
          <wp:extent cx="2238375" cy="542925"/>
          <wp:effectExtent l="0" t="0" r="9525" b="9525"/>
          <wp:wrapNone/>
          <wp:docPr id="1" name="obrázek 1" descr="logo VSB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VSB 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D228FEB" wp14:editId="31F816B8">
          <wp:extent cx="495300" cy="495300"/>
          <wp:effectExtent l="0" t="0" r="0" b="0"/>
          <wp:docPr id="2" name="obrázek 2" descr="cid:image002.png@01D466F7.462E4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id:image002.png@01D466F7.462E4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DBB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7B"/>
    <w:multiLevelType w:val="hybridMultilevel"/>
    <w:tmpl w:val="9286AF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C419C"/>
    <w:multiLevelType w:val="hybridMultilevel"/>
    <w:tmpl w:val="042A351E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3BFD"/>
    <w:multiLevelType w:val="hybridMultilevel"/>
    <w:tmpl w:val="F2D2F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5D"/>
    <w:rsid w:val="00011A68"/>
    <w:rsid w:val="000D3B05"/>
    <w:rsid w:val="000E2121"/>
    <w:rsid w:val="001D1F5D"/>
    <w:rsid w:val="00413639"/>
    <w:rsid w:val="004816D5"/>
    <w:rsid w:val="005436CC"/>
    <w:rsid w:val="005726BF"/>
    <w:rsid w:val="005C3209"/>
    <w:rsid w:val="00673B38"/>
    <w:rsid w:val="006E39B5"/>
    <w:rsid w:val="006E448F"/>
    <w:rsid w:val="007D269C"/>
    <w:rsid w:val="008B2663"/>
    <w:rsid w:val="00BD7049"/>
    <w:rsid w:val="00BD7E60"/>
    <w:rsid w:val="00CE31B9"/>
    <w:rsid w:val="00D34DBB"/>
    <w:rsid w:val="00D946B9"/>
    <w:rsid w:val="00EB4F2B"/>
    <w:rsid w:val="00F5701C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5223F"/>
  <w15:docId w15:val="{686F0B95-55E5-49D3-867D-C3CFDF6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F5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4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B4F2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4F2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F5D"/>
    <w:pPr>
      <w:ind w:left="720"/>
    </w:pPr>
  </w:style>
  <w:style w:type="paragraph" w:styleId="Normlnweb">
    <w:name w:val="Normal (Web)"/>
    <w:basedOn w:val="Normln"/>
    <w:uiPriority w:val="99"/>
    <w:unhideWhenUsed/>
    <w:rsid w:val="00EB4F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F2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B4F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4F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4F2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B4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B4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F2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4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F2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823">
          <w:marLeft w:val="1725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DF6AF8C6D8A4DA10A4E1586EB4F4D" ma:contentTypeVersion="14" ma:contentTypeDescription="Vytvoří nový dokument" ma:contentTypeScope="" ma:versionID="c1df523f4a441dc38a480084ae51ff95">
  <xsd:schema xmlns:xsd="http://www.w3.org/2001/XMLSchema" xmlns:xs="http://www.w3.org/2001/XMLSchema" xmlns:p="http://schemas.microsoft.com/office/2006/metadata/properties" xmlns:ns3="b6c44cff-9983-4506-bbd3-5bdaaf0be842" xmlns:ns4="e35ee9ee-b9f8-4a9b-ad9b-2c8efea6b023" targetNamespace="http://schemas.microsoft.com/office/2006/metadata/properties" ma:root="true" ma:fieldsID="0ddab1fd5d081588a14eea9180e62402" ns3:_="" ns4:_="">
    <xsd:import namespace="b6c44cff-9983-4506-bbd3-5bdaaf0be842"/>
    <xsd:import namespace="e35ee9ee-b9f8-4a9b-ad9b-2c8efea6b02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4cff-9983-4506-bbd3-5bdaaf0be84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ee9ee-b9f8-4a9b-ad9b-2c8efea6b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3DB0-539D-4B1C-9C08-A8086CB4168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35ee9ee-b9f8-4a9b-ad9b-2c8efea6b023"/>
    <ds:schemaRef ds:uri="b6c44cff-9983-4506-bbd3-5bdaaf0be84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E0367F-B10F-449C-B17C-21955FD1D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E2CC2-BC85-4B74-9BF4-7B68B66E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4cff-9983-4506-bbd3-5bdaaf0be842"/>
    <ds:schemaRef ds:uri="e35ee9ee-b9f8-4a9b-ad9b-2c8efea6b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Neulinger</dc:creator>
  <cp:lastModifiedBy>Michal Mokros</cp:lastModifiedBy>
  <cp:revision>4</cp:revision>
  <dcterms:created xsi:type="dcterms:W3CDTF">2021-09-29T09:09:00Z</dcterms:created>
  <dcterms:modified xsi:type="dcterms:W3CDTF">2021-09-29T09:47:00Z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0x010100EAFDF6AF8C6D8A4DA10A4E1586EB4F4D</vt:lpwstr>
  </property>
</Properties>
</file>